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5FF" w:rsidRPr="001205FF" w:rsidRDefault="00B6323A" w:rsidP="001205FF">
      <w:pPr>
        <w:spacing w:after="0" w:line="480" w:lineRule="auto"/>
        <w:ind w:firstLine="851"/>
        <w:jc w:val="center"/>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rPr>
        <w:t>#2 Sally Osteoporosis</w:t>
      </w:r>
    </w:p>
    <w:p w:rsidR="00764DC2" w:rsidRPr="001205FF" w:rsidRDefault="00B6323A" w:rsidP="001205FF">
      <w:pPr>
        <w:spacing w:after="0" w:line="480" w:lineRule="auto"/>
        <w:ind w:firstLine="851"/>
        <w:jc w:val="center"/>
        <w:rPr>
          <w:rFonts w:ascii="Times New Roman" w:hAnsi="Times New Roman" w:cs="Times New Roman"/>
          <w:b/>
          <w:bCs/>
          <w:color w:val="000000" w:themeColor="text1"/>
          <w:sz w:val="24"/>
          <w:szCs w:val="24"/>
        </w:rPr>
      </w:pPr>
      <w:r w:rsidRPr="001205FF">
        <w:rPr>
          <w:rFonts w:ascii="Times New Roman" w:hAnsi="Times New Roman" w:cs="Times New Roman"/>
          <w:b/>
          <w:bCs/>
          <w:color w:val="000000" w:themeColor="text1"/>
          <w:sz w:val="24"/>
          <w:szCs w:val="24"/>
        </w:rPr>
        <w:t>Chronic Obesity and Bone Health</w:t>
      </w:r>
    </w:p>
    <w:p w:rsidR="007F10A1" w:rsidRPr="001205FF" w:rsidRDefault="00B6323A" w:rsidP="001205FF">
      <w:pPr>
        <w:spacing w:after="0" w:line="480" w:lineRule="auto"/>
        <w:ind w:firstLine="851"/>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rPr>
        <w:t xml:space="preserve">Various researches show the relationship between </w:t>
      </w:r>
      <w:r w:rsidR="006155F2" w:rsidRPr="001205FF">
        <w:rPr>
          <w:rFonts w:ascii="Times New Roman" w:hAnsi="Times New Roman" w:cs="Times New Roman"/>
          <w:color w:val="000000" w:themeColor="text1"/>
          <w:sz w:val="24"/>
          <w:szCs w:val="24"/>
        </w:rPr>
        <w:t>osteoporosis and adiposity in obese people. There is an interaction between regulation in the endocrine system and metabolism of the bone in obese people. Obesity is acknowledged to be a risk factor for bone complications among aging adults. The mechanism of effects of obesity on bone health is linked to various elements such as oxidative stress, inflammation, hormonal processes and metabolism of bone cells. In the USA, the population that is 50 years and above is linked to increased cases of osteoporosis</w:t>
      </w:r>
      <w:r w:rsidR="001205FF" w:rsidRPr="001205FF">
        <w:rPr>
          <w:rFonts w:ascii="Times New Roman" w:hAnsi="Times New Roman" w:cs="Times New Roman"/>
          <w:color w:val="000000" w:themeColor="text1"/>
          <w:sz w:val="24"/>
          <w:szCs w:val="24"/>
        </w:rPr>
        <w:t xml:space="preserve"> (</w:t>
      </w:r>
      <w:r w:rsidR="001205FF" w:rsidRPr="001205FF">
        <w:rPr>
          <w:rFonts w:ascii="Times New Roman" w:hAnsi="Times New Roman" w:cs="Times New Roman"/>
          <w:color w:val="000000" w:themeColor="text1"/>
          <w:sz w:val="24"/>
          <w:szCs w:val="24"/>
          <w:shd w:val="clear" w:color="auto" w:fill="FFFFFF"/>
        </w:rPr>
        <w:t>Shapses, Pop &amp; Wang, 2017)</w:t>
      </w:r>
      <w:r w:rsidR="006155F2" w:rsidRPr="001205FF">
        <w:rPr>
          <w:rFonts w:ascii="Times New Roman" w:hAnsi="Times New Roman" w:cs="Times New Roman"/>
          <w:color w:val="000000" w:themeColor="text1"/>
          <w:sz w:val="24"/>
          <w:szCs w:val="24"/>
        </w:rPr>
        <w:t xml:space="preserve">.The link between obesity and osteoporosis goes beyond bone mass and body weight. </w:t>
      </w:r>
      <w:r w:rsidR="00764DC2" w:rsidRPr="001205FF">
        <w:rPr>
          <w:rFonts w:ascii="Times New Roman" w:hAnsi="Times New Roman" w:cs="Times New Roman"/>
          <w:color w:val="000000" w:themeColor="text1"/>
          <w:sz w:val="24"/>
          <w:szCs w:val="24"/>
        </w:rPr>
        <w:t>Research reveals that there is a relationship between adipose tissue endocrine functions and dysregulation of the hormones, which is accompanied by obesity. In obesity, there is an increased level of circulating estrogen from the increased androstenedione aromatization, which is expressed in the adipose tissue. The increased estrogen level leads to attenuation of bone loss in obese women who are in their post-menopause stage</w:t>
      </w:r>
      <w:r w:rsidR="001205FF" w:rsidRPr="001205FF">
        <w:rPr>
          <w:rFonts w:ascii="Times New Roman" w:hAnsi="Times New Roman" w:cs="Times New Roman"/>
          <w:color w:val="000000" w:themeColor="text1"/>
          <w:sz w:val="24"/>
          <w:szCs w:val="24"/>
        </w:rPr>
        <w:t xml:space="preserve"> (</w:t>
      </w:r>
      <w:r w:rsidR="001205FF" w:rsidRPr="001205FF">
        <w:rPr>
          <w:rFonts w:ascii="Times New Roman" w:hAnsi="Times New Roman" w:cs="Times New Roman"/>
          <w:color w:val="000000" w:themeColor="text1"/>
          <w:sz w:val="24"/>
          <w:szCs w:val="24"/>
          <w:shd w:val="clear" w:color="auto" w:fill="FFFFFF"/>
        </w:rPr>
        <w:t>Freeman, Sammel, Lin &amp;Gracia, 2010)</w:t>
      </w:r>
      <w:r w:rsidR="00764DC2" w:rsidRPr="001205FF">
        <w:rPr>
          <w:rFonts w:ascii="Times New Roman" w:hAnsi="Times New Roman" w:cs="Times New Roman"/>
          <w:color w:val="000000" w:themeColor="text1"/>
          <w:sz w:val="24"/>
          <w:szCs w:val="24"/>
        </w:rPr>
        <w:t>.</w:t>
      </w:r>
      <w:r w:rsidR="00412FC7" w:rsidRPr="001205FF">
        <w:rPr>
          <w:rFonts w:ascii="Times New Roman" w:hAnsi="Times New Roman" w:cs="Times New Roman"/>
          <w:color w:val="000000" w:themeColor="text1"/>
          <w:sz w:val="24"/>
          <w:szCs w:val="24"/>
        </w:rPr>
        <w:t xml:space="preserve"> In women with obesity, the rate of osteoporosis is reduced due to the increased level of circulating estrogen. Therefore, obesity upholds the state of bone health among women who are in menopause. </w:t>
      </w:r>
    </w:p>
    <w:p w:rsidR="00764DC2" w:rsidRPr="001205FF" w:rsidRDefault="00B6323A" w:rsidP="001205FF">
      <w:pPr>
        <w:spacing w:after="0" w:line="480" w:lineRule="auto"/>
        <w:ind w:firstLine="851"/>
        <w:jc w:val="center"/>
        <w:rPr>
          <w:rFonts w:ascii="Times New Roman" w:hAnsi="Times New Roman" w:cs="Times New Roman"/>
          <w:b/>
          <w:bCs/>
          <w:color w:val="000000" w:themeColor="text1"/>
          <w:sz w:val="24"/>
          <w:szCs w:val="24"/>
        </w:rPr>
      </w:pPr>
      <w:r w:rsidRPr="001205FF">
        <w:rPr>
          <w:rFonts w:ascii="Times New Roman" w:hAnsi="Times New Roman" w:cs="Times New Roman"/>
          <w:b/>
          <w:bCs/>
          <w:color w:val="000000" w:themeColor="text1"/>
          <w:sz w:val="24"/>
          <w:szCs w:val="24"/>
        </w:rPr>
        <w:t>HRT</w:t>
      </w:r>
    </w:p>
    <w:p w:rsidR="00764DC2" w:rsidRPr="001205FF" w:rsidRDefault="00B6323A" w:rsidP="001205FF">
      <w:pPr>
        <w:spacing w:after="0" w:line="480" w:lineRule="auto"/>
        <w:ind w:firstLine="851"/>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rPr>
        <w:t xml:space="preserve">Hormone replacement therapy </w:t>
      </w:r>
      <w:r w:rsidR="004973D2" w:rsidRPr="001205FF">
        <w:rPr>
          <w:rFonts w:ascii="Times New Roman" w:hAnsi="Times New Roman" w:cs="Times New Roman"/>
          <w:color w:val="000000" w:themeColor="text1"/>
          <w:sz w:val="24"/>
          <w:szCs w:val="24"/>
        </w:rPr>
        <w:t xml:space="preserve">(HRT) </w:t>
      </w:r>
      <w:r w:rsidRPr="001205FF">
        <w:rPr>
          <w:rFonts w:ascii="Times New Roman" w:hAnsi="Times New Roman" w:cs="Times New Roman"/>
          <w:color w:val="000000" w:themeColor="text1"/>
          <w:sz w:val="24"/>
          <w:szCs w:val="24"/>
        </w:rPr>
        <w:t xml:space="preserve">is a management strategy that is beneficial for </w:t>
      </w:r>
      <w:r w:rsidR="00BA4145" w:rsidRPr="001205FF">
        <w:rPr>
          <w:rFonts w:ascii="Times New Roman" w:hAnsi="Times New Roman" w:cs="Times New Roman"/>
          <w:color w:val="000000" w:themeColor="text1"/>
          <w:sz w:val="24"/>
          <w:szCs w:val="24"/>
        </w:rPr>
        <w:t xml:space="preserve">menopausal women to prevent symptoms and enhance long term health. Sally, who is a 60-year-old patient, would be a candidate for HRT as a way of treating and preventing osteoporosis. The prevention of fracture in menopausal women is among the priorities of public health caused by the deficiency of </w:t>
      </w:r>
      <w:r w:rsidR="00412FC7" w:rsidRPr="001205FF">
        <w:rPr>
          <w:rFonts w:ascii="Times New Roman" w:hAnsi="Times New Roman" w:cs="Times New Roman"/>
          <w:color w:val="000000" w:themeColor="text1"/>
          <w:sz w:val="24"/>
          <w:szCs w:val="24"/>
        </w:rPr>
        <w:t xml:space="preserve">estrogen. The presence of obesity in Sally may be viewed as a beneficial factor in supporting bone health. However, </w:t>
      </w:r>
      <w:r w:rsidR="004973D2" w:rsidRPr="001205FF">
        <w:rPr>
          <w:rFonts w:ascii="Times New Roman" w:hAnsi="Times New Roman" w:cs="Times New Roman"/>
          <w:color w:val="000000" w:themeColor="text1"/>
          <w:sz w:val="24"/>
          <w:szCs w:val="24"/>
        </w:rPr>
        <w:t xml:space="preserve">the patient needs new management to ensure that prevention and treatment of osteoporosis are enhanced. The use of </w:t>
      </w:r>
      <w:r w:rsidR="004973D2" w:rsidRPr="001205FF">
        <w:rPr>
          <w:rFonts w:ascii="Times New Roman" w:hAnsi="Times New Roman" w:cs="Times New Roman"/>
          <w:color w:val="000000" w:themeColor="text1"/>
          <w:sz w:val="24"/>
          <w:szCs w:val="24"/>
        </w:rPr>
        <w:lastRenderedPageBreak/>
        <w:t>HRT ensures that turnover is normalized, and there is a preservation of BMD (bone mineral density) in the patient</w:t>
      </w:r>
      <w:r w:rsidR="004C583B" w:rsidRPr="001205FF">
        <w:rPr>
          <w:rFonts w:ascii="Times New Roman" w:hAnsi="Times New Roman" w:cs="Times New Roman"/>
          <w:color w:val="000000" w:themeColor="text1"/>
          <w:sz w:val="24"/>
          <w:szCs w:val="24"/>
        </w:rPr>
        <w:t xml:space="preserve"> (Gambacciani&amp;Levancini, 2014)</w:t>
      </w:r>
      <w:r w:rsidR="004973D2" w:rsidRPr="001205FF">
        <w:rPr>
          <w:rFonts w:ascii="Times New Roman" w:hAnsi="Times New Roman" w:cs="Times New Roman"/>
          <w:color w:val="000000" w:themeColor="text1"/>
          <w:sz w:val="24"/>
          <w:szCs w:val="24"/>
        </w:rPr>
        <w:t xml:space="preserve">. The enhancement of BMD through HRT ensures that the weight of the patient does not overwhelm her bones, leading to fractures. According to research, HRT is not the first line of treatment for osteoporosis. However, it is the first line of treatment for women who are in their first ten years of menopause. Taking into consideration the complications of HRT like breast cancer, the benefit outweighs the </w:t>
      </w:r>
      <w:r w:rsidR="004C583B" w:rsidRPr="001205FF">
        <w:rPr>
          <w:rFonts w:ascii="Times New Roman" w:hAnsi="Times New Roman" w:cs="Times New Roman"/>
          <w:color w:val="000000" w:themeColor="text1"/>
          <w:sz w:val="24"/>
          <w:szCs w:val="24"/>
        </w:rPr>
        <w:t>difficulties as the main aim is to prevent osteoporosis inpatient. Therefore, the use of HRT is beneficial in Sally to ensure that osteoporosis is treated and prevented.</w:t>
      </w:r>
    </w:p>
    <w:p w:rsidR="004C583B" w:rsidRPr="001205FF" w:rsidRDefault="00B6323A" w:rsidP="001205FF">
      <w:pPr>
        <w:spacing w:after="0" w:line="480" w:lineRule="auto"/>
        <w:ind w:firstLine="851"/>
        <w:jc w:val="center"/>
        <w:rPr>
          <w:rFonts w:ascii="Times New Roman" w:hAnsi="Times New Roman" w:cs="Times New Roman"/>
          <w:b/>
          <w:bCs/>
          <w:color w:val="000000" w:themeColor="text1"/>
          <w:sz w:val="24"/>
          <w:szCs w:val="24"/>
        </w:rPr>
      </w:pPr>
      <w:r w:rsidRPr="001205FF">
        <w:rPr>
          <w:rFonts w:ascii="Times New Roman" w:hAnsi="Times New Roman" w:cs="Times New Roman"/>
          <w:b/>
          <w:bCs/>
          <w:color w:val="000000" w:themeColor="text1"/>
          <w:sz w:val="24"/>
          <w:szCs w:val="24"/>
        </w:rPr>
        <w:t>Calcium Alternatives to Dairy</w:t>
      </w:r>
    </w:p>
    <w:p w:rsidR="004C583B" w:rsidRPr="001205FF" w:rsidRDefault="00B6323A" w:rsidP="001205FF">
      <w:pPr>
        <w:spacing w:after="0" w:line="480" w:lineRule="auto"/>
        <w:ind w:firstLine="851"/>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rPr>
        <w:t xml:space="preserve">Lactose intolerance occurs when a person develops symptoms due to the inability to digest lactose, which is found in dairy. Individuals who are mostly affected by lactose vary in the amount of lactose they take before they develop the symptoms. The symptoms linked to lactose intolerance include nausea, diarrhea, bloating and abdominal pain. The severity depends on the amount of dairy that an individual ingests. Lactose intolerance occurs following the lack of lactase enzyme </w:t>
      </w:r>
      <w:r w:rsidR="003338DF" w:rsidRPr="001205FF">
        <w:rPr>
          <w:rFonts w:ascii="Times New Roman" w:hAnsi="Times New Roman" w:cs="Times New Roman"/>
          <w:color w:val="000000" w:themeColor="text1"/>
          <w:sz w:val="24"/>
          <w:szCs w:val="24"/>
        </w:rPr>
        <w:t xml:space="preserve">in the small intestines (Deng et al., 2015). Therefore, patients who develop lactose intolerance need to have an alternative of calcium providing foods to dairy. Various options will ensure that Sally gets enough calcium supply. Multiple foods are lactose-free and provide enough level of calcium. These foods </w:t>
      </w:r>
      <w:r w:rsidR="001205FF" w:rsidRPr="001205FF">
        <w:rPr>
          <w:rFonts w:ascii="Times New Roman" w:hAnsi="Times New Roman" w:cs="Times New Roman"/>
          <w:color w:val="000000" w:themeColor="text1"/>
          <w:sz w:val="24"/>
          <w:szCs w:val="24"/>
        </w:rPr>
        <w:t>include</w:t>
      </w:r>
      <w:r w:rsidR="003338DF" w:rsidRPr="001205FF">
        <w:rPr>
          <w:rFonts w:ascii="Times New Roman" w:hAnsi="Times New Roman" w:cs="Times New Roman"/>
          <w:color w:val="000000" w:themeColor="text1"/>
          <w:sz w:val="24"/>
          <w:szCs w:val="24"/>
        </w:rPr>
        <w:t xml:space="preserve"> grains, vegetables and fruits, fortified soy, calcium-fortified orange juice, canned fish, soybeans, nuts and molasses. Therefore, the patient can still </w:t>
      </w:r>
      <w:r w:rsidR="001205FF" w:rsidRPr="001205FF">
        <w:rPr>
          <w:rFonts w:ascii="Times New Roman" w:hAnsi="Times New Roman" w:cs="Times New Roman"/>
          <w:color w:val="000000" w:themeColor="text1"/>
          <w:sz w:val="24"/>
          <w:szCs w:val="24"/>
        </w:rPr>
        <w:t>access calcium-rich foods without the intake of milk products.</w:t>
      </w:r>
    </w:p>
    <w:p w:rsidR="001205FF" w:rsidRDefault="001205FF" w:rsidP="001205FF">
      <w:pPr>
        <w:spacing w:after="0" w:line="480" w:lineRule="auto"/>
        <w:ind w:firstLine="851"/>
        <w:rPr>
          <w:rFonts w:ascii="Times New Roman" w:hAnsi="Times New Roman" w:cs="Times New Roman"/>
          <w:color w:val="000000" w:themeColor="text1"/>
          <w:sz w:val="24"/>
          <w:szCs w:val="24"/>
        </w:rPr>
      </w:pPr>
    </w:p>
    <w:p w:rsidR="001205FF" w:rsidRDefault="001205FF" w:rsidP="001205FF">
      <w:pPr>
        <w:spacing w:after="0" w:line="480" w:lineRule="auto"/>
        <w:ind w:firstLine="851"/>
        <w:rPr>
          <w:rFonts w:ascii="Times New Roman" w:hAnsi="Times New Roman" w:cs="Times New Roman"/>
          <w:color w:val="000000" w:themeColor="text1"/>
          <w:sz w:val="24"/>
          <w:szCs w:val="24"/>
        </w:rPr>
      </w:pPr>
    </w:p>
    <w:p w:rsidR="001205FF" w:rsidRDefault="001205FF" w:rsidP="001205FF">
      <w:pPr>
        <w:spacing w:after="0" w:line="480" w:lineRule="auto"/>
        <w:ind w:firstLine="851"/>
        <w:rPr>
          <w:rFonts w:ascii="Times New Roman" w:hAnsi="Times New Roman" w:cs="Times New Roman"/>
          <w:color w:val="000000" w:themeColor="text1"/>
          <w:sz w:val="24"/>
          <w:szCs w:val="24"/>
        </w:rPr>
      </w:pPr>
    </w:p>
    <w:p w:rsidR="001205FF" w:rsidRPr="001205FF" w:rsidRDefault="00B6323A" w:rsidP="001205FF">
      <w:pPr>
        <w:spacing w:after="0" w:line="480" w:lineRule="auto"/>
        <w:ind w:firstLine="851"/>
        <w:jc w:val="center"/>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rPr>
        <w:lastRenderedPageBreak/>
        <w:t>References</w:t>
      </w:r>
    </w:p>
    <w:p w:rsidR="001205FF" w:rsidRPr="001205FF" w:rsidRDefault="00B6323A" w:rsidP="001205FF">
      <w:pPr>
        <w:spacing w:after="0" w:line="480" w:lineRule="auto"/>
        <w:ind w:left="851" w:hanging="851"/>
        <w:rPr>
          <w:rFonts w:ascii="Times New Roman" w:hAnsi="Times New Roman" w:cs="Times New Roman"/>
          <w:color w:val="000000" w:themeColor="text1"/>
          <w:sz w:val="24"/>
          <w:szCs w:val="24"/>
          <w:shd w:val="clear" w:color="auto" w:fill="FFFFFF"/>
        </w:rPr>
      </w:pPr>
      <w:r w:rsidRPr="001205FF">
        <w:rPr>
          <w:rFonts w:ascii="Times New Roman" w:hAnsi="Times New Roman" w:cs="Times New Roman"/>
          <w:color w:val="000000" w:themeColor="text1"/>
          <w:sz w:val="24"/>
          <w:szCs w:val="24"/>
          <w:shd w:val="clear" w:color="auto" w:fill="FFFFFF"/>
        </w:rPr>
        <w:t>Deng, Y., Misselwitz, B., Dai, N., &amp; Fox, M. (2015). Lactose Intolerance in Adults: Biological Mechanism and Dietary Management. </w:t>
      </w:r>
      <w:r w:rsidRPr="001205FF">
        <w:rPr>
          <w:rFonts w:ascii="Times New Roman" w:hAnsi="Times New Roman" w:cs="Times New Roman"/>
          <w:i/>
          <w:iCs/>
          <w:color w:val="000000" w:themeColor="text1"/>
          <w:sz w:val="24"/>
          <w:szCs w:val="24"/>
          <w:shd w:val="clear" w:color="auto" w:fill="FFFFFF"/>
        </w:rPr>
        <w:t>Nutrients</w:t>
      </w:r>
      <w:r w:rsidRPr="001205FF">
        <w:rPr>
          <w:rFonts w:ascii="Times New Roman" w:hAnsi="Times New Roman" w:cs="Times New Roman"/>
          <w:color w:val="000000" w:themeColor="text1"/>
          <w:sz w:val="24"/>
          <w:szCs w:val="24"/>
          <w:shd w:val="clear" w:color="auto" w:fill="FFFFFF"/>
        </w:rPr>
        <w:t>, </w:t>
      </w:r>
      <w:r w:rsidRPr="001205FF">
        <w:rPr>
          <w:rFonts w:ascii="Times New Roman" w:hAnsi="Times New Roman" w:cs="Times New Roman"/>
          <w:i/>
          <w:iCs/>
          <w:color w:val="000000" w:themeColor="text1"/>
          <w:sz w:val="24"/>
          <w:szCs w:val="24"/>
          <w:shd w:val="clear" w:color="auto" w:fill="FFFFFF"/>
        </w:rPr>
        <w:t>7</w:t>
      </w:r>
      <w:r w:rsidRPr="001205FF">
        <w:rPr>
          <w:rFonts w:ascii="Times New Roman" w:hAnsi="Times New Roman" w:cs="Times New Roman"/>
          <w:color w:val="000000" w:themeColor="text1"/>
          <w:sz w:val="24"/>
          <w:szCs w:val="24"/>
          <w:shd w:val="clear" w:color="auto" w:fill="FFFFFF"/>
        </w:rPr>
        <w:t xml:space="preserve">(9), 8020–8035. </w:t>
      </w:r>
      <w:hyperlink r:id="rId6" w:history="1">
        <w:r w:rsidRPr="001205FF">
          <w:rPr>
            <w:rStyle w:val="Hyperlink"/>
            <w:rFonts w:ascii="Times New Roman" w:hAnsi="Times New Roman" w:cs="Times New Roman"/>
            <w:color w:val="000000" w:themeColor="text1"/>
            <w:sz w:val="24"/>
            <w:szCs w:val="24"/>
            <w:u w:val="none"/>
            <w:shd w:val="clear" w:color="auto" w:fill="FFFFFF"/>
          </w:rPr>
          <w:t>https://doi.org/10.3390/nu7095380</w:t>
        </w:r>
      </w:hyperlink>
    </w:p>
    <w:p w:rsidR="001205FF" w:rsidRPr="001205FF" w:rsidRDefault="00B6323A" w:rsidP="001205FF">
      <w:pPr>
        <w:spacing w:after="0" w:line="480" w:lineRule="auto"/>
        <w:ind w:left="851" w:hanging="851"/>
        <w:rPr>
          <w:rFonts w:ascii="Times New Roman" w:hAnsi="Times New Roman" w:cs="Times New Roman"/>
          <w:color w:val="000000" w:themeColor="text1"/>
          <w:sz w:val="24"/>
          <w:szCs w:val="24"/>
          <w:shd w:val="clear" w:color="auto" w:fill="FFFFFF"/>
        </w:rPr>
      </w:pPr>
      <w:r w:rsidRPr="001205FF">
        <w:rPr>
          <w:rFonts w:ascii="Times New Roman" w:hAnsi="Times New Roman" w:cs="Times New Roman"/>
          <w:color w:val="000000" w:themeColor="text1"/>
          <w:sz w:val="24"/>
          <w:szCs w:val="24"/>
          <w:shd w:val="clear" w:color="auto" w:fill="FFFFFF"/>
        </w:rPr>
        <w:t>Freeman, E. W., Sammel, M. D., Lin, H., &amp;Gracia, C. R. (2010). Obesity and reproductive hormone levels in the transition to menopause. </w:t>
      </w:r>
      <w:r w:rsidRPr="001205FF">
        <w:rPr>
          <w:rFonts w:ascii="Times New Roman" w:hAnsi="Times New Roman" w:cs="Times New Roman"/>
          <w:i/>
          <w:iCs/>
          <w:color w:val="000000" w:themeColor="text1"/>
          <w:sz w:val="24"/>
          <w:szCs w:val="24"/>
          <w:shd w:val="clear" w:color="auto" w:fill="FFFFFF"/>
        </w:rPr>
        <w:t>Menopause (New York, N.Y.)</w:t>
      </w:r>
      <w:r w:rsidRPr="001205FF">
        <w:rPr>
          <w:rFonts w:ascii="Times New Roman" w:hAnsi="Times New Roman" w:cs="Times New Roman"/>
          <w:color w:val="000000" w:themeColor="text1"/>
          <w:sz w:val="24"/>
          <w:szCs w:val="24"/>
          <w:shd w:val="clear" w:color="auto" w:fill="FFFFFF"/>
        </w:rPr>
        <w:t>, </w:t>
      </w:r>
      <w:r w:rsidRPr="001205FF">
        <w:rPr>
          <w:rFonts w:ascii="Times New Roman" w:hAnsi="Times New Roman" w:cs="Times New Roman"/>
          <w:i/>
          <w:iCs/>
          <w:color w:val="000000" w:themeColor="text1"/>
          <w:sz w:val="24"/>
          <w:szCs w:val="24"/>
          <w:shd w:val="clear" w:color="auto" w:fill="FFFFFF"/>
        </w:rPr>
        <w:t>17</w:t>
      </w:r>
      <w:r w:rsidRPr="001205FF">
        <w:rPr>
          <w:rFonts w:ascii="Times New Roman" w:hAnsi="Times New Roman" w:cs="Times New Roman"/>
          <w:color w:val="000000" w:themeColor="text1"/>
          <w:sz w:val="24"/>
          <w:szCs w:val="24"/>
          <w:shd w:val="clear" w:color="auto" w:fill="FFFFFF"/>
        </w:rPr>
        <w:t xml:space="preserve">(4), 718–726. </w:t>
      </w:r>
      <w:hyperlink r:id="rId7" w:history="1">
        <w:r w:rsidRPr="001205FF">
          <w:rPr>
            <w:rStyle w:val="Hyperlink"/>
            <w:rFonts w:ascii="Times New Roman" w:hAnsi="Times New Roman" w:cs="Times New Roman"/>
            <w:color w:val="000000" w:themeColor="text1"/>
            <w:sz w:val="24"/>
            <w:szCs w:val="24"/>
            <w:u w:val="none"/>
            <w:shd w:val="clear" w:color="auto" w:fill="FFFFFF"/>
          </w:rPr>
          <w:t>https://doi.org/10.1097/gme.0b013e3181cec85d</w:t>
        </w:r>
      </w:hyperlink>
    </w:p>
    <w:p w:rsidR="001205FF" w:rsidRPr="001205FF" w:rsidRDefault="00B6323A" w:rsidP="001205FF">
      <w:pPr>
        <w:spacing w:after="0" w:line="480" w:lineRule="auto"/>
        <w:ind w:left="851" w:hanging="851"/>
        <w:rPr>
          <w:rFonts w:ascii="Times New Roman" w:hAnsi="Times New Roman" w:cs="Times New Roman"/>
          <w:color w:val="000000" w:themeColor="text1"/>
          <w:sz w:val="24"/>
          <w:szCs w:val="24"/>
          <w:shd w:val="clear" w:color="auto" w:fill="FFFFFF"/>
        </w:rPr>
      </w:pPr>
      <w:r w:rsidRPr="001205FF">
        <w:rPr>
          <w:rFonts w:ascii="Times New Roman" w:hAnsi="Times New Roman" w:cs="Times New Roman"/>
          <w:color w:val="000000" w:themeColor="text1"/>
          <w:sz w:val="24"/>
          <w:szCs w:val="24"/>
          <w:shd w:val="clear" w:color="auto" w:fill="FFFFFF"/>
        </w:rPr>
        <w:t>Gambacciani, M., &amp;Levancini, M. (2014). Hormone replacement therapy and the prevention of postmenopausal osteoporosis. </w:t>
      </w:r>
      <w:r w:rsidRPr="001205FF">
        <w:rPr>
          <w:rFonts w:ascii="Times New Roman" w:hAnsi="Times New Roman" w:cs="Times New Roman"/>
          <w:i/>
          <w:iCs/>
          <w:color w:val="000000" w:themeColor="text1"/>
          <w:sz w:val="24"/>
          <w:szCs w:val="24"/>
          <w:shd w:val="clear" w:color="auto" w:fill="FFFFFF"/>
        </w:rPr>
        <w:t>Przegladmenopausal = Menopause review</w:t>
      </w:r>
      <w:r w:rsidRPr="001205FF">
        <w:rPr>
          <w:rFonts w:ascii="Times New Roman" w:hAnsi="Times New Roman" w:cs="Times New Roman"/>
          <w:color w:val="000000" w:themeColor="text1"/>
          <w:sz w:val="24"/>
          <w:szCs w:val="24"/>
          <w:shd w:val="clear" w:color="auto" w:fill="FFFFFF"/>
        </w:rPr>
        <w:t>, </w:t>
      </w:r>
      <w:r w:rsidRPr="001205FF">
        <w:rPr>
          <w:rFonts w:ascii="Times New Roman" w:hAnsi="Times New Roman" w:cs="Times New Roman"/>
          <w:i/>
          <w:iCs/>
          <w:color w:val="000000" w:themeColor="text1"/>
          <w:sz w:val="24"/>
          <w:szCs w:val="24"/>
          <w:shd w:val="clear" w:color="auto" w:fill="FFFFFF"/>
        </w:rPr>
        <w:t>13</w:t>
      </w:r>
      <w:r w:rsidRPr="001205FF">
        <w:rPr>
          <w:rFonts w:ascii="Times New Roman" w:hAnsi="Times New Roman" w:cs="Times New Roman"/>
          <w:color w:val="000000" w:themeColor="text1"/>
          <w:sz w:val="24"/>
          <w:szCs w:val="24"/>
          <w:shd w:val="clear" w:color="auto" w:fill="FFFFFF"/>
        </w:rPr>
        <w:t xml:space="preserve">(4), 213–220. </w:t>
      </w:r>
      <w:hyperlink r:id="rId8" w:history="1">
        <w:r w:rsidRPr="001205FF">
          <w:rPr>
            <w:rStyle w:val="Hyperlink"/>
            <w:rFonts w:ascii="Times New Roman" w:hAnsi="Times New Roman" w:cs="Times New Roman"/>
            <w:color w:val="000000" w:themeColor="text1"/>
            <w:sz w:val="24"/>
            <w:szCs w:val="24"/>
            <w:u w:val="none"/>
            <w:shd w:val="clear" w:color="auto" w:fill="FFFFFF"/>
          </w:rPr>
          <w:t>https://doi.org/10.5114/pm.2014.44996</w:t>
        </w:r>
      </w:hyperlink>
    </w:p>
    <w:p w:rsidR="001205FF" w:rsidRPr="001205FF" w:rsidRDefault="00B6323A" w:rsidP="001205FF">
      <w:pPr>
        <w:spacing w:after="0" w:line="480" w:lineRule="auto"/>
        <w:ind w:left="851" w:hanging="851"/>
        <w:rPr>
          <w:rFonts w:ascii="Times New Roman" w:hAnsi="Times New Roman" w:cs="Times New Roman"/>
          <w:color w:val="000000" w:themeColor="text1"/>
          <w:sz w:val="24"/>
          <w:szCs w:val="24"/>
        </w:rPr>
      </w:pPr>
      <w:r w:rsidRPr="001205FF">
        <w:rPr>
          <w:rFonts w:ascii="Times New Roman" w:hAnsi="Times New Roman" w:cs="Times New Roman"/>
          <w:color w:val="000000" w:themeColor="text1"/>
          <w:sz w:val="24"/>
          <w:szCs w:val="24"/>
          <w:shd w:val="clear" w:color="auto" w:fill="FFFFFF"/>
        </w:rPr>
        <w:t xml:space="preserve">Shapses, S. A., Pope, L. C., &amp; Wang, Y. (2017). Obesity is a concern for bone health with aging. </w:t>
      </w:r>
      <w:r w:rsidRPr="001205FF">
        <w:rPr>
          <w:rFonts w:ascii="Times New Roman" w:hAnsi="Times New Roman" w:cs="Times New Roman"/>
          <w:i/>
          <w:iCs/>
          <w:color w:val="000000" w:themeColor="text1"/>
          <w:sz w:val="24"/>
          <w:szCs w:val="24"/>
          <w:shd w:val="clear" w:color="auto" w:fill="FFFFFF"/>
        </w:rPr>
        <w:t>Nutrition research (New York, N.Y.)</w:t>
      </w:r>
      <w:r w:rsidRPr="001205FF">
        <w:rPr>
          <w:rFonts w:ascii="Times New Roman" w:hAnsi="Times New Roman" w:cs="Times New Roman"/>
          <w:color w:val="000000" w:themeColor="text1"/>
          <w:sz w:val="24"/>
          <w:szCs w:val="24"/>
          <w:shd w:val="clear" w:color="auto" w:fill="FFFFFF"/>
        </w:rPr>
        <w:t>, </w:t>
      </w:r>
      <w:r w:rsidRPr="001205FF">
        <w:rPr>
          <w:rFonts w:ascii="Times New Roman" w:hAnsi="Times New Roman" w:cs="Times New Roman"/>
          <w:i/>
          <w:iCs/>
          <w:color w:val="000000" w:themeColor="text1"/>
          <w:sz w:val="24"/>
          <w:szCs w:val="24"/>
          <w:shd w:val="clear" w:color="auto" w:fill="FFFFFF"/>
        </w:rPr>
        <w:t>39</w:t>
      </w:r>
      <w:r w:rsidRPr="001205FF">
        <w:rPr>
          <w:rFonts w:ascii="Times New Roman" w:hAnsi="Times New Roman" w:cs="Times New Roman"/>
          <w:color w:val="000000" w:themeColor="text1"/>
          <w:sz w:val="24"/>
          <w:szCs w:val="24"/>
          <w:shd w:val="clear" w:color="auto" w:fill="FFFFFF"/>
        </w:rPr>
        <w:t>, 1–13. https://doi.org/10.1016/j.nutres.2016.12.010</w:t>
      </w:r>
    </w:p>
    <w:sectPr w:rsidR="001205FF" w:rsidRPr="001205FF" w:rsidSect="001205F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C75" w:rsidRDefault="00497C75" w:rsidP="00CE3FA7">
      <w:pPr>
        <w:spacing w:after="0" w:line="240" w:lineRule="auto"/>
      </w:pPr>
      <w:r>
        <w:separator/>
      </w:r>
    </w:p>
  </w:endnote>
  <w:endnote w:type="continuationSeparator" w:id="1">
    <w:p w:rsidR="00497C75" w:rsidRDefault="00497C75" w:rsidP="00CE3F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C75" w:rsidRDefault="00497C75" w:rsidP="00CE3FA7">
      <w:pPr>
        <w:spacing w:after="0" w:line="240" w:lineRule="auto"/>
      </w:pPr>
      <w:r>
        <w:separator/>
      </w:r>
    </w:p>
  </w:footnote>
  <w:footnote w:type="continuationSeparator" w:id="1">
    <w:p w:rsidR="00497C75" w:rsidRDefault="00497C75" w:rsidP="00CE3F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3346045"/>
      <w:docPartObj>
        <w:docPartGallery w:val="Page Numbers (Top of Page)"/>
        <w:docPartUnique/>
      </w:docPartObj>
    </w:sdtPr>
    <w:sdtEndPr>
      <w:rPr>
        <w:noProof/>
      </w:rPr>
    </w:sdtEndPr>
    <w:sdtContent>
      <w:p w:rsidR="001205FF" w:rsidRDefault="00B6323A" w:rsidP="001205FF">
        <w:pPr>
          <w:pStyle w:val="Header"/>
        </w:pPr>
        <w:r w:rsidRPr="001205FF">
          <w:rPr>
            <w:rFonts w:ascii="Times New Roman" w:hAnsi="Times New Roman" w:cs="Times New Roman"/>
            <w:sz w:val="24"/>
            <w:szCs w:val="24"/>
          </w:rPr>
          <w:t xml:space="preserve">                        </w:t>
        </w:r>
        <w:r w:rsidR="00EA40C4">
          <w:rPr>
            <w:rFonts w:ascii="Times New Roman" w:hAnsi="Times New Roman" w:cs="Times New Roman"/>
            <w:sz w:val="24"/>
            <w:szCs w:val="24"/>
          </w:rPr>
          <w:t xml:space="preserve">                                                          </w:t>
        </w:r>
      </w:p>
    </w:sdtContent>
  </w:sdt>
  <w:p w:rsidR="001205FF" w:rsidRDefault="001205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FF" w:rsidRDefault="001205FF" w:rsidP="001205FF">
    <w:pPr>
      <w:pStyle w:val="Header"/>
    </w:pPr>
  </w:p>
  <w:p w:rsidR="001205FF" w:rsidRDefault="001205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52107"/>
    <w:rsid w:val="001205FF"/>
    <w:rsid w:val="00151652"/>
    <w:rsid w:val="003338DF"/>
    <w:rsid w:val="00412FC7"/>
    <w:rsid w:val="004973D2"/>
    <w:rsid w:val="00497C75"/>
    <w:rsid w:val="004C583B"/>
    <w:rsid w:val="006155F2"/>
    <w:rsid w:val="00630DF8"/>
    <w:rsid w:val="00764DC2"/>
    <w:rsid w:val="007F10A1"/>
    <w:rsid w:val="00A52107"/>
    <w:rsid w:val="00B6323A"/>
    <w:rsid w:val="00BA4145"/>
    <w:rsid w:val="00CE3FA7"/>
    <w:rsid w:val="00D761FE"/>
    <w:rsid w:val="00EA4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F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05FF"/>
    <w:rPr>
      <w:color w:val="0563C1" w:themeColor="hyperlink"/>
      <w:u w:val="single"/>
    </w:rPr>
  </w:style>
  <w:style w:type="character" w:customStyle="1" w:styleId="UnresolvedMention">
    <w:name w:val="Unresolved Mention"/>
    <w:basedOn w:val="DefaultParagraphFont"/>
    <w:uiPriority w:val="99"/>
    <w:semiHidden/>
    <w:unhideWhenUsed/>
    <w:rsid w:val="001205FF"/>
    <w:rPr>
      <w:color w:val="605E5C"/>
      <w:shd w:val="clear" w:color="auto" w:fill="E1DFDD"/>
    </w:rPr>
  </w:style>
  <w:style w:type="paragraph" w:styleId="Header">
    <w:name w:val="header"/>
    <w:basedOn w:val="Normal"/>
    <w:link w:val="HeaderChar"/>
    <w:uiPriority w:val="99"/>
    <w:unhideWhenUsed/>
    <w:rsid w:val="001205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5FF"/>
    <w:rPr>
      <w:lang w:val="en-US"/>
    </w:rPr>
  </w:style>
  <w:style w:type="paragraph" w:styleId="Footer">
    <w:name w:val="footer"/>
    <w:basedOn w:val="Normal"/>
    <w:link w:val="FooterChar"/>
    <w:uiPriority w:val="99"/>
    <w:unhideWhenUsed/>
    <w:rsid w:val="001205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5F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114/pm.2014.44996" TargetMode="External"/><Relationship Id="rId3" Type="http://schemas.openxmlformats.org/officeDocument/2006/relationships/webSettings" Target="webSettings.xml"/><Relationship Id="rId7" Type="http://schemas.openxmlformats.org/officeDocument/2006/relationships/hyperlink" Target="https://doi.org/10.1097/gme.0b013e3181cec85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nu709538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2020-07-28T20:28:00Z</dcterms:created>
  <dcterms:modified xsi:type="dcterms:W3CDTF">2020-07-28T20:28:00Z</dcterms:modified>
</cp:coreProperties>
</file>